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DF" w:rsidRPr="00B34ADF" w:rsidRDefault="00B34ADF" w:rsidP="00806B84">
      <w:pPr>
        <w:shd w:val="clear" w:color="auto" w:fill="FFFFFF"/>
        <w:spacing w:line="240" w:lineRule="auto"/>
        <w:jc w:val="center"/>
        <w:outlineLvl w:val="0"/>
        <w:rPr>
          <w:rFonts w:ascii="Goudy Old Style" w:eastAsia="Times New Roman" w:hAnsi="Goudy Old Style" w:cs="Arial"/>
          <w:caps/>
          <w:color w:val="943634" w:themeColor="accent2" w:themeShade="BF"/>
          <w:spacing w:val="15"/>
          <w:kern w:val="36"/>
          <w:sz w:val="34"/>
          <w:szCs w:val="34"/>
          <w:lang w:eastAsia="en-GB"/>
        </w:rPr>
      </w:pPr>
      <w:r w:rsidRPr="00B34ADF">
        <w:rPr>
          <w:rFonts w:ascii="Goudy Old Style" w:eastAsia="Times New Roman" w:hAnsi="Goudy Old Style" w:cs="Arial"/>
          <w:caps/>
          <w:color w:val="943634" w:themeColor="accent2" w:themeShade="BF"/>
          <w:spacing w:val="15"/>
          <w:kern w:val="36"/>
          <w:sz w:val="34"/>
          <w:szCs w:val="34"/>
          <w:lang w:eastAsia="en-GB"/>
        </w:rPr>
        <w:t>LEGACIES</w:t>
      </w:r>
    </w:p>
    <w:p w:rsidR="00B34ADF" w:rsidRPr="00806B84" w:rsidRDefault="00B34ADF" w:rsidP="00806B84">
      <w:pPr>
        <w:shd w:val="clear" w:color="auto" w:fill="FFFFFF"/>
        <w:spacing w:line="240" w:lineRule="auto"/>
        <w:jc w:val="both"/>
        <w:rPr>
          <w:rFonts w:ascii="Goudy Old Style" w:eastAsia="Times New Roman" w:hAnsi="Goudy Old Style" w:cs="Arial"/>
          <w:color w:val="333333"/>
          <w:sz w:val="28"/>
          <w:szCs w:val="31"/>
          <w:lang w:eastAsia="en-GB"/>
        </w:rPr>
      </w:pPr>
      <w:r w:rsidRPr="00806B84">
        <w:rPr>
          <w:rFonts w:ascii="Goudy Old Style" w:eastAsia="Times New Roman" w:hAnsi="Goudy Old Style" w:cs="Arial"/>
          <w:color w:val="333333"/>
          <w:sz w:val="28"/>
          <w:szCs w:val="31"/>
          <w:lang w:eastAsia="en-GB"/>
        </w:rPr>
        <w:t>The College welcomes gifts by bequest, of any sum, and to support any aspect of its life and work.</w:t>
      </w:r>
    </w:p>
    <w:p w:rsidR="00B34ADF" w:rsidRPr="00806B84" w:rsidRDefault="00B34ADF" w:rsidP="00806B84">
      <w:pPr>
        <w:shd w:val="clear" w:color="auto" w:fill="FFFFFF"/>
        <w:spacing w:line="240" w:lineRule="auto"/>
        <w:jc w:val="both"/>
        <w:rPr>
          <w:rFonts w:ascii="Goudy Old Style" w:eastAsia="Times New Roman" w:hAnsi="Goudy Old Style" w:cs="Arial"/>
          <w:color w:val="333333"/>
          <w:szCs w:val="24"/>
          <w:lang w:eastAsia="en-GB"/>
        </w:rPr>
      </w:pPr>
      <w:r w:rsidRPr="00806B84">
        <w:rPr>
          <w:rFonts w:ascii="Goudy Old Style" w:eastAsia="Times New Roman" w:hAnsi="Goudy Old Style" w:cs="Arial"/>
          <w:color w:val="333333"/>
          <w:szCs w:val="24"/>
          <w:lang w:eastAsia="en-GB"/>
        </w:rPr>
        <w:t>It perhaps especially welcomes money left for its general purposes, for investment with the income applied wherever it is most needed. Such generosity enables the College to command its own resources as needs and opportunities, hidden from sight now, may demand. But whatever your wishes, you can be sure that the needs will not diminish, and nor will the College's gratitude for any assistance which you are able to offer. Whatever your wishes, the College undertakes to abide by them as a condition of accepting your legacy.</w:t>
      </w:r>
    </w:p>
    <w:p w:rsidR="00806B84" w:rsidRDefault="00806B84" w:rsidP="00806B84">
      <w:pPr>
        <w:shd w:val="clear" w:color="auto" w:fill="FFFFFF"/>
        <w:spacing w:line="240" w:lineRule="auto"/>
        <w:outlineLvl w:val="1"/>
        <w:rPr>
          <w:rFonts w:ascii="Goudy Old Style" w:eastAsia="Times New Roman" w:hAnsi="Goudy Old Style" w:cs="Arial"/>
          <w:b/>
          <w:bCs/>
          <w:color w:val="943634" w:themeColor="accent2" w:themeShade="BF"/>
          <w:szCs w:val="24"/>
          <w:lang w:eastAsia="en-GB"/>
        </w:rPr>
      </w:pPr>
    </w:p>
    <w:p w:rsidR="00B34ADF" w:rsidRPr="00806B84" w:rsidRDefault="00B34ADF" w:rsidP="00806B84">
      <w:pPr>
        <w:shd w:val="clear" w:color="auto" w:fill="FFFFFF"/>
        <w:spacing w:line="240" w:lineRule="auto"/>
        <w:outlineLvl w:val="1"/>
        <w:rPr>
          <w:rFonts w:ascii="Goudy Old Style" w:eastAsia="Times New Roman" w:hAnsi="Goudy Old Style" w:cs="Arial"/>
          <w:color w:val="333333"/>
          <w:szCs w:val="24"/>
          <w:lang w:eastAsia="en-GB"/>
        </w:rPr>
      </w:pPr>
      <w:r w:rsidRPr="00806B84">
        <w:rPr>
          <w:rFonts w:ascii="Goudy Old Style" w:eastAsia="Times New Roman" w:hAnsi="Goudy Old Style" w:cs="Arial"/>
          <w:b/>
          <w:bCs/>
          <w:color w:val="943634" w:themeColor="accent2" w:themeShade="BF"/>
          <w:szCs w:val="24"/>
          <w:lang w:eastAsia="en-GB"/>
        </w:rPr>
        <w:t>Tax</w:t>
      </w:r>
      <w:r w:rsidR="00806B84">
        <w:rPr>
          <w:rFonts w:ascii="Goudy Old Style" w:eastAsia="Times New Roman" w:hAnsi="Goudy Old Style" w:cs="Arial"/>
          <w:b/>
          <w:bCs/>
          <w:color w:val="943634" w:themeColor="accent2" w:themeShade="BF"/>
          <w:szCs w:val="24"/>
          <w:lang w:eastAsia="en-GB"/>
        </w:rPr>
        <w:t xml:space="preserve"> benefits for the </w:t>
      </w:r>
      <w:proofErr w:type="spellStart"/>
      <w:r w:rsidR="00806B84">
        <w:rPr>
          <w:rFonts w:ascii="Goudy Old Style" w:eastAsia="Times New Roman" w:hAnsi="Goudy Old Style" w:cs="Arial"/>
          <w:b/>
          <w:bCs/>
          <w:color w:val="943634" w:themeColor="accent2" w:themeShade="BF"/>
          <w:szCs w:val="24"/>
          <w:lang w:eastAsia="en-GB"/>
        </w:rPr>
        <w:t>legator</w:t>
      </w:r>
      <w:proofErr w:type="spellEnd"/>
    </w:p>
    <w:p w:rsidR="00B34ADF" w:rsidRPr="00806B84" w:rsidRDefault="00B34ADF" w:rsidP="00806B84">
      <w:pPr>
        <w:shd w:val="clear" w:color="auto" w:fill="FFFFFF"/>
        <w:spacing w:line="240" w:lineRule="auto"/>
        <w:jc w:val="both"/>
        <w:rPr>
          <w:rFonts w:ascii="Goudy Old Style" w:eastAsia="Times New Roman" w:hAnsi="Goudy Old Style" w:cs="Arial"/>
          <w:color w:val="333333"/>
          <w:szCs w:val="24"/>
          <w:lang w:eastAsia="en-GB"/>
        </w:rPr>
      </w:pPr>
      <w:r w:rsidRPr="00806B84">
        <w:rPr>
          <w:rFonts w:ascii="Goudy Old Style" w:eastAsia="Times New Roman" w:hAnsi="Goudy Old Style" w:cs="Arial"/>
          <w:color w:val="333333"/>
          <w:szCs w:val="24"/>
          <w:lang w:eastAsia="en-GB"/>
        </w:rPr>
        <w:t>At present many estates, even quite modest ones, will incur Inheritance Tax on their net value – that is, on the amount remaining after the payment of debts and fees, and the deduction of bequests to a spouse or to a charity or other exempt organisation. Because St Catharine’s College is a charity and legacies to charities are exempt from Inheritance Tax, it is thus possible to lower your total Inheritance Tax liability (see Example A below). If 10 per cent of the estate is left to charity, then the Inheritance Tax liability is reduced even further (see Example B below).</w:t>
      </w:r>
    </w:p>
    <w:p w:rsidR="00806B84" w:rsidRDefault="00806B84" w:rsidP="00B34ADF">
      <w:pPr>
        <w:shd w:val="clear" w:color="auto" w:fill="FFFFFF"/>
        <w:spacing w:line="240" w:lineRule="auto"/>
        <w:outlineLvl w:val="1"/>
        <w:rPr>
          <w:rFonts w:ascii="Goudy Old Style" w:eastAsia="Times New Roman" w:hAnsi="Goudy Old Style" w:cs="Arial"/>
          <w:b/>
          <w:bCs/>
          <w:color w:val="943634" w:themeColor="accent2" w:themeShade="BF"/>
          <w:szCs w:val="24"/>
          <w:lang w:eastAsia="en-GB"/>
        </w:rPr>
      </w:pPr>
    </w:p>
    <w:p w:rsidR="00B34ADF" w:rsidRPr="00806B84" w:rsidRDefault="00B34ADF" w:rsidP="00B34ADF">
      <w:pPr>
        <w:shd w:val="clear" w:color="auto" w:fill="FFFFFF"/>
        <w:spacing w:line="240" w:lineRule="auto"/>
        <w:outlineLvl w:val="1"/>
        <w:rPr>
          <w:rFonts w:ascii="Goudy Old Style" w:eastAsia="Times New Roman" w:hAnsi="Goudy Old Style" w:cs="Arial"/>
          <w:color w:val="FF0000"/>
          <w:szCs w:val="24"/>
          <w:lang w:eastAsia="en-GB"/>
        </w:rPr>
      </w:pPr>
      <w:r w:rsidRPr="00806B84">
        <w:rPr>
          <w:rFonts w:ascii="Goudy Old Style" w:eastAsia="Times New Roman" w:hAnsi="Goudy Old Style" w:cs="Arial"/>
          <w:b/>
          <w:bCs/>
          <w:color w:val="943634" w:themeColor="accent2" w:themeShade="BF"/>
          <w:szCs w:val="24"/>
          <w:lang w:eastAsia="en-GB"/>
        </w:rPr>
        <w:t>Example A</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color w:val="333333"/>
          <w:szCs w:val="24"/>
          <w:lang w:eastAsia="en-GB"/>
        </w:rPr>
        <w:t>For example, an estate with a total value of £500,000 would attract Inheritance Tax at 40% after the first £325,000:</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b/>
          <w:bCs/>
          <w:color w:val="333333"/>
          <w:szCs w:val="24"/>
          <w:lang w:eastAsia="en-GB"/>
        </w:rPr>
        <w:t>Taxable balance:</w:t>
      </w:r>
      <w:r w:rsidRPr="00806B84">
        <w:rPr>
          <w:rFonts w:ascii="Goudy Old Style" w:eastAsia="Times New Roman" w:hAnsi="Goudy Old Style" w:cs="Arial"/>
          <w:color w:val="333333"/>
          <w:szCs w:val="24"/>
          <w:lang w:eastAsia="en-GB"/>
        </w:rPr>
        <w:t> £500,000 – £325,000 = £175,000</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b/>
          <w:bCs/>
          <w:color w:val="333333"/>
          <w:szCs w:val="24"/>
          <w:lang w:eastAsia="en-GB"/>
        </w:rPr>
        <w:t>Tax at 40%:</w:t>
      </w:r>
      <w:r w:rsidRPr="00806B84">
        <w:rPr>
          <w:rFonts w:ascii="Goudy Old Style" w:eastAsia="Times New Roman" w:hAnsi="Goudy Old Style" w:cs="Arial"/>
          <w:color w:val="333333"/>
          <w:szCs w:val="24"/>
          <w:lang w:eastAsia="en-GB"/>
        </w:rPr>
        <w:t> £70,000</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b/>
          <w:bCs/>
          <w:color w:val="333333"/>
          <w:szCs w:val="24"/>
          <w:lang w:eastAsia="en-GB"/>
        </w:rPr>
        <w:t>Net legacy to non-charitable beneficiaries: </w:t>
      </w:r>
      <w:r w:rsidRPr="00806B84">
        <w:rPr>
          <w:rFonts w:ascii="Goudy Old Style" w:eastAsia="Times New Roman" w:hAnsi="Goudy Old Style" w:cs="Arial"/>
          <w:color w:val="333333"/>
          <w:szCs w:val="24"/>
          <w:lang w:eastAsia="en-GB"/>
        </w:rPr>
        <w:t>£175,000 – £70,000 = £105,000</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color w:val="333333"/>
          <w:szCs w:val="24"/>
          <w:lang w:eastAsia="en-GB"/>
        </w:rPr>
        <w:t>But if a legacy of £25,000 were left to the College:</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b/>
          <w:bCs/>
          <w:color w:val="333333"/>
          <w:szCs w:val="24"/>
          <w:lang w:eastAsia="en-GB"/>
        </w:rPr>
        <w:t>Taxable balance:</w:t>
      </w:r>
      <w:r w:rsidRPr="00806B84">
        <w:rPr>
          <w:rFonts w:ascii="Goudy Old Style" w:eastAsia="Times New Roman" w:hAnsi="Goudy Old Style" w:cs="Arial"/>
          <w:color w:val="333333"/>
          <w:szCs w:val="24"/>
          <w:lang w:eastAsia="en-GB"/>
        </w:rPr>
        <w:t> £500,000 – £325,000 – £25,000 = £150,000</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b/>
          <w:bCs/>
          <w:color w:val="333333"/>
          <w:szCs w:val="24"/>
          <w:lang w:eastAsia="en-GB"/>
        </w:rPr>
        <w:t>Tax at 40%:</w:t>
      </w:r>
      <w:r w:rsidRPr="00806B84">
        <w:rPr>
          <w:rFonts w:ascii="Goudy Old Style" w:eastAsia="Times New Roman" w:hAnsi="Goudy Old Style" w:cs="Arial"/>
          <w:color w:val="333333"/>
          <w:szCs w:val="24"/>
          <w:lang w:eastAsia="en-GB"/>
        </w:rPr>
        <w:t> £60,000</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b/>
          <w:bCs/>
          <w:color w:val="333333"/>
          <w:szCs w:val="24"/>
          <w:lang w:eastAsia="en-GB"/>
        </w:rPr>
        <w:t>Cost of legacy to your estate:</w:t>
      </w:r>
      <w:r w:rsidRPr="00806B84">
        <w:rPr>
          <w:rFonts w:ascii="Goudy Old Style" w:eastAsia="Times New Roman" w:hAnsi="Goudy Old Style" w:cs="Arial"/>
          <w:color w:val="333333"/>
          <w:szCs w:val="24"/>
          <w:lang w:eastAsia="en-GB"/>
        </w:rPr>
        <w:t xml:space="preserve"> £15,000 (£25,000 </w:t>
      </w:r>
      <w:r w:rsidR="004B4273">
        <w:rPr>
          <w:rFonts w:ascii="Goudy Old Style" w:eastAsia="Times New Roman" w:hAnsi="Goudy Old Style" w:cs="Arial"/>
          <w:color w:val="333333"/>
          <w:szCs w:val="24"/>
          <w:lang w:eastAsia="en-GB"/>
        </w:rPr>
        <w:t xml:space="preserve">legacy gift </w:t>
      </w:r>
      <w:r w:rsidRPr="00806B84">
        <w:rPr>
          <w:rFonts w:ascii="Goudy Old Style" w:eastAsia="Times New Roman" w:hAnsi="Goudy Old Style" w:cs="Arial"/>
          <w:color w:val="333333"/>
          <w:szCs w:val="24"/>
          <w:lang w:eastAsia="en-GB"/>
        </w:rPr>
        <w:t>less the £10,000 saved in Inheritance Tax).</w:t>
      </w:r>
    </w:p>
    <w:p w:rsidR="004B4273" w:rsidRDefault="004B4273" w:rsidP="00B34ADF">
      <w:pPr>
        <w:shd w:val="clear" w:color="auto" w:fill="FFFFFF"/>
        <w:spacing w:line="240" w:lineRule="auto"/>
        <w:rPr>
          <w:rFonts w:ascii="Goudy Old Style" w:eastAsia="Times New Roman" w:hAnsi="Goudy Old Style" w:cs="Arial"/>
          <w:b/>
          <w:bCs/>
          <w:color w:val="333333"/>
          <w:szCs w:val="24"/>
          <w:lang w:eastAsia="en-GB"/>
        </w:rPr>
      </w:pPr>
    </w:p>
    <w:p w:rsidR="00B34ADF" w:rsidRPr="004B4273" w:rsidRDefault="00B34ADF" w:rsidP="00B34ADF">
      <w:pPr>
        <w:shd w:val="clear" w:color="auto" w:fill="FFFFFF"/>
        <w:spacing w:line="240" w:lineRule="auto"/>
        <w:rPr>
          <w:rFonts w:ascii="Goudy Old Style" w:eastAsia="Times New Roman" w:hAnsi="Goudy Old Style" w:cs="Arial"/>
          <w:color w:val="333333"/>
          <w:szCs w:val="24"/>
          <w:u w:val="single"/>
          <w:lang w:eastAsia="en-GB"/>
        </w:rPr>
      </w:pPr>
      <w:r w:rsidRPr="004B4273">
        <w:rPr>
          <w:rFonts w:ascii="Goudy Old Style" w:eastAsia="Times New Roman" w:hAnsi="Goudy Old Style" w:cs="Arial"/>
          <w:b/>
          <w:bCs/>
          <w:color w:val="333333"/>
          <w:szCs w:val="24"/>
          <w:u w:val="single"/>
          <w:lang w:eastAsia="en-GB"/>
        </w:rPr>
        <w:t>If 10 per cent of an estate is left to charity</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color w:val="333333"/>
          <w:szCs w:val="24"/>
          <w:lang w:eastAsia="en-GB"/>
        </w:rPr>
        <w:t>A reduced rate of inheritance tax applies where 10 per cent of more of a deceased's net estate (after deducting inheritance tax exemptions, reliefs and the nil rate band) is left to charity. In those cases the current 40 per cent rate is reduced to 36 per cent. This applies where death occurs on or after 6 April 2012.</w:t>
      </w:r>
    </w:p>
    <w:p w:rsidR="00806B84" w:rsidRDefault="00806B84" w:rsidP="00B34ADF">
      <w:pPr>
        <w:shd w:val="clear" w:color="auto" w:fill="FFFFFF"/>
        <w:spacing w:line="240" w:lineRule="auto"/>
        <w:outlineLvl w:val="1"/>
        <w:rPr>
          <w:rFonts w:ascii="Goudy Old Style" w:eastAsia="Times New Roman" w:hAnsi="Goudy Old Style" w:cs="Arial"/>
          <w:b/>
          <w:bCs/>
          <w:color w:val="943634" w:themeColor="accent2" w:themeShade="BF"/>
          <w:szCs w:val="24"/>
          <w:lang w:eastAsia="en-GB"/>
        </w:rPr>
      </w:pPr>
    </w:p>
    <w:p w:rsidR="00B34ADF" w:rsidRPr="00806B84" w:rsidRDefault="00B34ADF" w:rsidP="00B34ADF">
      <w:pPr>
        <w:shd w:val="clear" w:color="auto" w:fill="FFFFFF"/>
        <w:spacing w:line="240" w:lineRule="auto"/>
        <w:outlineLvl w:val="1"/>
        <w:rPr>
          <w:rFonts w:ascii="Goudy Old Style" w:eastAsia="Times New Roman" w:hAnsi="Goudy Old Style" w:cs="Arial"/>
          <w:color w:val="943634" w:themeColor="accent2" w:themeShade="BF"/>
          <w:szCs w:val="24"/>
          <w:lang w:eastAsia="en-GB"/>
        </w:rPr>
      </w:pPr>
      <w:r w:rsidRPr="00806B84">
        <w:rPr>
          <w:rFonts w:ascii="Goudy Old Style" w:eastAsia="Times New Roman" w:hAnsi="Goudy Old Style" w:cs="Arial"/>
          <w:b/>
          <w:bCs/>
          <w:color w:val="943634" w:themeColor="accent2" w:themeShade="BF"/>
          <w:szCs w:val="24"/>
          <w:lang w:eastAsia="en-GB"/>
        </w:rPr>
        <w:t>Example B</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color w:val="333333"/>
          <w:szCs w:val="24"/>
          <w:lang w:eastAsia="en-GB"/>
        </w:rPr>
        <w:t>For example, for an estate with a total value of £500,000, if a legacy of £50,000 were left to the College (10% of the estate), then:</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b/>
          <w:bCs/>
          <w:color w:val="333333"/>
          <w:szCs w:val="24"/>
          <w:lang w:eastAsia="en-GB"/>
        </w:rPr>
        <w:t>Taxable balance:</w:t>
      </w:r>
      <w:r w:rsidRPr="00806B84">
        <w:rPr>
          <w:rFonts w:ascii="Goudy Old Style" w:eastAsia="Times New Roman" w:hAnsi="Goudy Old Style" w:cs="Arial"/>
          <w:color w:val="333333"/>
          <w:szCs w:val="24"/>
          <w:lang w:eastAsia="en-GB"/>
        </w:rPr>
        <w:t> £500,000 – £325,000 – £50,000 = £125,000</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b/>
          <w:bCs/>
          <w:color w:val="333333"/>
          <w:szCs w:val="24"/>
          <w:lang w:eastAsia="en-GB"/>
        </w:rPr>
        <w:t>Tax at 36%:</w:t>
      </w:r>
      <w:r w:rsidRPr="00806B84">
        <w:rPr>
          <w:rFonts w:ascii="Goudy Old Style" w:eastAsia="Times New Roman" w:hAnsi="Goudy Old Style" w:cs="Arial"/>
          <w:color w:val="333333"/>
          <w:szCs w:val="24"/>
          <w:lang w:eastAsia="en-GB"/>
        </w:rPr>
        <w:t> £45,000</w:t>
      </w:r>
    </w:p>
    <w:p w:rsidR="004B4273"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b/>
          <w:bCs/>
          <w:color w:val="333333"/>
          <w:szCs w:val="24"/>
          <w:lang w:eastAsia="en-GB"/>
        </w:rPr>
        <w:t>Cost of legacy to your estate</w:t>
      </w:r>
      <w:r w:rsidRPr="00806B84">
        <w:rPr>
          <w:rFonts w:ascii="Goudy Old Style" w:eastAsia="Times New Roman" w:hAnsi="Goudy Old Style" w:cs="Arial"/>
          <w:color w:val="333333"/>
          <w:szCs w:val="24"/>
          <w:lang w:eastAsia="en-GB"/>
        </w:rPr>
        <w:t xml:space="preserve">: £25,000 (£50,000 </w:t>
      </w:r>
      <w:r w:rsidR="004B4273">
        <w:rPr>
          <w:rFonts w:ascii="Goudy Old Style" w:eastAsia="Times New Roman" w:hAnsi="Goudy Old Style" w:cs="Arial"/>
          <w:color w:val="333333"/>
          <w:szCs w:val="24"/>
          <w:lang w:eastAsia="en-GB"/>
        </w:rPr>
        <w:t xml:space="preserve">legacy gift </w:t>
      </w:r>
      <w:r w:rsidRPr="00806B84">
        <w:rPr>
          <w:rFonts w:ascii="Goudy Old Style" w:eastAsia="Times New Roman" w:hAnsi="Goudy Old Style" w:cs="Arial"/>
          <w:color w:val="333333"/>
          <w:szCs w:val="24"/>
          <w:lang w:eastAsia="en-GB"/>
        </w:rPr>
        <w:t xml:space="preserve">less the £25,000 saving in Inheritance Tax) </w:t>
      </w:r>
    </w:p>
    <w:p w:rsidR="004B4273" w:rsidRDefault="004B4273" w:rsidP="00B34ADF">
      <w:pPr>
        <w:shd w:val="clear" w:color="auto" w:fill="FFFFFF"/>
        <w:spacing w:line="240" w:lineRule="auto"/>
        <w:rPr>
          <w:rFonts w:ascii="Goudy Old Style" w:eastAsia="Times New Roman" w:hAnsi="Goudy Old Style" w:cs="Arial"/>
          <w:color w:val="333333"/>
          <w:szCs w:val="24"/>
          <w:lang w:eastAsia="en-GB"/>
        </w:rPr>
      </w:pP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color w:val="333333"/>
          <w:szCs w:val="24"/>
          <w:lang w:eastAsia="en-GB"/>
        </w:rPr>
        <w:t>In these examples, the figures assume no bequests to a spouse; such bequests are completely exempt from Inheritance Tax.</w:t>
      </w:r>
    </w:p>
    <w:p w:rsidR="00B34ADF" w:rsidRPr="00806B84" w:rsidRDefault="00B34ADF" w:rsidP="00B34ADF">
      <w:pPr>
        <w:shd w:val="clear" w:color="auto" w:fill="FFFFFF"/>
        <w:spacing w:line="240" w:lineRule="auto"/>
        <w:rPr>
          <w:rFonts w:ascii="Goudy Old Style" w:eastAsia="Times New Roman" w:hAnsi="Goudy Old Style" w:cs="Arial"/>
          <w:color w:val="333333"/>
          <w:szCs w:val="24"/>
          <w:lang w:eastAsia="en-GB"/>
        </w:rPr>
      </w:pPr>
      <w:r w:rsidRPr="00806B84">
        <w:rPr>
          <w:rFonts w:ascii="Goudy Old Style" w:eastAsia="Times New Roman" w:hAnsi="Goudy Old Style" w:cs="Arial"/>
          <w:color w:val="333333"/>
          <w:szCs w:val="24"/>
          <w:lang w:eastAsia="en-GB"/>
        </w:rPr>
        <w:t>Gifts made to a charity in the seven years before your death are exempt from Inheritance Tax.</w:t>
      </w:r>
    </w:p>
    <w:p w:rsidR="003B6902" w:rsidRPr="00B34ADF" w:rsidRDefault="00B34ADF" w:rsidP="004B4273">
      <w:pPr>
        <w:shd w:val="clear" w:color="auto" w:fill="FFFFFF"/>
        <w:spacing w:line="240" w:lineRule="auto"/>
        <w:rPr>
          <w:rFonts w:ascii="Goudy Old Style" w:hAnsi="Goudy Old Style"/>
        </w:rPr>
      </w:pPr>
      <w:r w:rsidRPr="00806B84">
        <w:rPr>
          <w:rFonts w:ascii="Goudy Old Style" w:eastAsia="Times New Roman" w:hAnsi="Goudy Old Style" w:cs="Arial"/>
          <w:color w:val="333333"/>
          <w:szCs w:val="24"/>
          <w:lang w:eastAsia="en-GB"/>
        </w:rPr>
        <w:t>Please see </w:t>
      </w:r>
      <w:hyperlink r:id="rId6" w:history="1">
        <w:r w:rsidRPr="00806B84">
          <w:rPr>
            <w:rFonts w:ascii="Goudy Old Style" w:eastAsia="Times New Roman" w:hAnsi="Goudy Old Style" w:cs="Arial"/>
            <w:color w:val="333333"/>
            <w:szCs w:val="24"/>
            <w:u w:val="single"/>
            <w:lang w:eastAsia="en-GB"/>
          </w:rPr>
          <w:t>www.gov.uk/inheritance-tax</w:t>
        </w:r>
      </w:hyperlink>
      <w:r w:rsidRPr="00806B84">
        <w:rPr>
          <w:rFonts w:ascii="Goudy Old Style" w:eastAsia="Times New Roman" w:hAnsi="Goudy Old Style" w:cs="Arial"/>
          <w:color w:val="333333"/>
          <w:szCs w:val="24"/>
          <w:lang w:eastAsia="en-GB"/>
        </w:rPr>
        <w:t>.</w:t>
      </w:r>
      <w:bookmarkStart w:id="0" w:name="_GoBack"/>
      <w:bookmarkEnd w:id="0"/>
    </w:p>
    <w:sectPr w:rsidR="003B6902" w:rsidRPr="00B34ADF" w:rsidSect="00806B84">
      <w:headerReference w:type="default" r:id="rId7"/>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02" w:rsidRDefault="003B6902" w:rsidP="003B6902">
      <w:pPr>
        <w:spacing w:line="240" w:lineRule="auto"/>
      </w:pPr>
      <w:r>
        <w:separator/>
      </w:r>
    </w:p>
  </w:endnote>
  <w:endnote w:type="continuationSeparator" w:id="0">
    <w:p w:rsidR="003B6902" w:rsidRDefault="003B6902" w:rsidP="003B6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9FA" w:rsidRPr="001979FA" w:rsidRDefault="009B16A6" w:rsidP="001979FA">
    <w:pPr>
      <w:pStyle w:val="Footer"/>
      <w:jc w:val="center"/>
      <w:rPr>
        <w:rFonts w:asciiTheme="minorHAnsi" w:hAnsiTheme="minorHAnsi"/>
        <w:color w:val="A00028"/>
        <w:sz w:val="20"/>
      </w:rPr>
    </w:pPr>
    <w:hyperlink r:id="rId1" w:history="1">
      <w:r w:rsidR="001979FA" w:rsidRPr="001979FA">
        <w:rPr>
          <w:rStyle w:val="Hyperlink"/>
          <w:rFonts w:asciiTheme="minorHAnsi" w:hAnsiTheme="minorHAnsi"/>
          <w:color w:val="A00028"/>
          <w:sz w:val="20"/>
          <w:u w:val="none"/>
        </w:rPr>
        <w:t>www.caths.cam.ac.uk</w:t>
      </w:r>
    </w:hyperlink>
  </w:p>
  <w:p w:rsidR="00D23BE4" w:rsidRPr="001979FA" w:rsidRDefault="001979FA" w:rsidP="001979FA">
    <w:pPr>
      <w:pStyle w:val="Footer"/>
      <w:jc w:val="center"/>
      <w:rPr>
        <w:rFonts w:asciiTheme="minorHAnsi" w:hAnsiTheme="minorHAnsi"/>
        <w:color w:val="A00028"/>
        <w:sz w:val="20"/>
      </w:rPr>
    </w:pPr>
    <w:r w:rsidRPr="001979FA">
      <w:rPr>
        <w:rFonts w:asciiTheme="minorHAnsi" w:hAnsiTheme="minorHAnsi"/>
        <w:color w:val="A00028"/>
        <w:sz w:val="20"/>
      </w:rPr>
      <w:t>Registered charity</w:t>
    </w:r>
    <w:r w:rsidR="00D23BE4" w:rsidRPr="001979FA">
      <w:rPr>
        <w:rFonts w:asciiTheme="minorHAnsi" w:hAnsiTheme="minorHAnsi"/>
        <w:color w:val="A00028"/>
        <w:sz w:val="20"/>
      </w:rPr>
      <w:t xml:space="preserve"> number </w:t>
    </w:r>
    <w:r w:rsidRPr="001979FA">
      <w:rPr>
        <w:rFonts w:asciiTheme="minorHAnsi" w:hAnsiTheme="minorHAnsi"/>
        <w:color w:val="A00028"/>
        <w:sz w:val="20"/>
      </w:rPr>
      <w:t>1137463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02" w:rsidRDefault="003B6902" w:rsidP="003B6902">
      <w:pPr>
        <w:spacing w:line="240" w:lineRule="auto"/>
      </w:pPr>
      <w:r>
        <w:separator/>
      </w:r>
    </w:p>
  </w:footnote>
  <w:footnote w:type="continuationSeparator" w:id="0">
    <w:p w:rsidR="003B6902" w:rsidRDefault="003B6902" w:rsidP="003B69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3889"/>
    </w:tblGrid>
    <w:tr w:rsidR="003B6902" w:rsidTr="00381E46">
      <w:tc>
        <w:tcPr>
          <w:tcW w:w="5147" w:type="dxa"/>
        </w:tcPr>
        <w:p w:rsidR="003B6902" w:rsidRDefault="006F62E9" w:rsidP="00381E46">
          <w:pPr>
            <w:pStyle w:val="Heading4"/>
            <w:jc w:val="right"/>
            <w:outlineLvl w:val="3"/>
            <w:rPr>
              <w:rFonts w:ascii="Garamond" w:hAnsi="Garamond"/>
              <w:i w:val="0"/>
              <w:color w:val="BD0000"/>
              <w:sz w:val="24"/>
              <w:szCs w:val="28"/>
            </w:rPr>
          </w:pPr>
          <w:r>
            <w:rPr>
              <w:noProof/>
              <w:lang w:eastAsia="en-GB"/>
            </w:rPr>
            <w:drawing>
              <wp:inline distT="0" distB="0" distL="0" distR="0">
                <wp:extent cx="3073400" cy="577850"/>
                <wp:effectExtent l="0" t="0" r="0" b="0"/>
                <wp:docPr id="5" name="Picture 5" descr="Logo RGB 160-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160-0-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0" cy="577850"/>
                        </a:xfrm>
                        <a:prstGeom prst="rect">
                          <a:avLst/>
                        </a:prstGeom>
                        <a:noFill/>
                        <a:ln>
                          <a:noFill/>
                        </a:ln>
                      </pic:spPr>
                    </pic:pic>
                  </a:graphicData>
                </a:graphic>
              </wp:inline>
            </w:drawing>
          </w:r>
        </w:p>
        <w:p w:rsidR="003B6902" w:rsidRDefault="003B6902" w:rsidP="00381E46">
          <w:pPr>
            <w:pStyle w:val="Heading4"/>
            <w:jc w:val="right"/>
            <w:outlineLvl w:val="3"/>
            <w:rPr>
              <w:rFonts w:ascii="Garamond" w:hAnsi="Garamond"/>
              <w:i w:val="0"/>
              <w:color w:val="BD0000"/>
              <w:sz w:val="24"/>
              <w:szCs w:val="28"/>
            </w:rPr>
          </w:pPr>
        </w:p>
        <w:p w:rsidR="003B6902" w:rsidRPr="00E3371A" w:rsidRDefault="003B6902" w:rsidP="00381E46">
          <w:pPr>
            <w:pStyle w:val="Heading4"/>
            <w:jc w:val="right"/>
            <w:outlineLvl w:val="3"/>
            <w:rPr>
              <w:rFonts w:ascii="Garamond" w:hAnsi="Garamond"/>
              <w:i w:val="0"/>
              <w:color w:val="BD0000"/>
              <w:sz w:val="24"/>
              <w:szCs w:val="28"/>
            </w:rPr>
          </w:pPr>
        </w:p>
      </w:tc>
      <w:tc>
        <w:tcPr>
          <w:tcW w:w="4095" w:type="dxa"/>
        </w:tcPr>
        <w:p w:rsidR="003B6902" w:rsidRDefault="003B6902" w:rsidP="00381E46">
          <w:pPr>
            <w:jc w:val="right"/>
            <w:rPr>
              <w:rFonts w:ascii="Garamond" w:hAnsi="Garamond"/>
              <w:b/>
              <w:color w:val="BD0000"/>
              <w:sz w:val="32"/>
              <w:szCs w:val="28"/>
            </w:rPr>
          </w:pPr>
        </w:p>
        <w:p w:rsidR="003B6902" w:rsidRPr="001979FA" w:rsidRDefault="007512E4" w:rsidP="00381E46">
          <w:pPr>
            <w:jc w:val="right"/>
            <w:rPr>
              <w:rFonts w:ascii="Calibri" w:hAnsi="Calibri"/>
              <w:b/>
              <w:color w:val="A00028"/>
              <w:sz w:val="20"/>
            </w:rPr>
          </w:pPr>
          <w:r>
            <w:rPr>
              <w:rFonts w:ascii="Goudy Old Style" w:hAnsi="Goudy Old Style"/>
              <w:color w:val="A00028"/>
              <w:sz w:val="28"/>
              <w:szCs w:val="28"/>
            </w:rPr>
            <w:t>Alumni &amp; Development Office</w:t>
          </w:r>
        </w:p>
        <w:p w:rsidR="003B6902" w:rsidRPr="001979FA" w:rsidRDefault="003B6902" w:rsidP="00381E46">
          <w:pPr>
            <w:jc w:val="right"/>
            <w:rPr>
              <w:rFonts w:ascii="Calibri" w:hAnsi="Calibri"/>
              <w:color w:val="A00028"/>
              <w:sz w:val="20"/>
            </w:rPr>
          </w:pPr>
        </w:p>
        <w:p w:rsidR="003B6902" w:rsidRPr="001979FA" w:rsidRDefault="003B6902" w:rsidP="00381E46">
          <w:pPr>
            <w:jc w:val="right"/>
            <w:rPr>
              <w:rFonts w:ascii="Calibri" w:hAnsi="Calibri"/>
              <w:color w:val="A00028"/>
              <w:sz w:val="20"/>
            </w:rPr>
          </w:pPr>
          <w:r w:rsidRPr="001979FA">
            <w:rPr>
              <w:rFonts w:ascii="Calibri" w:hAnsi="Calibri"/>
              <w:color w:val="A00028"/>
              <w:sz w:val="20"/>
            </w:rPr>
            <w:t>St Catharine’s College</w:t>
          </w:r>
        </w:p>
        <w:p w:rsidR="003B6902" w:rsidRPr="001979FA" w:rsidRDefault="003B6902" w:rsidP="00381E46">
          <w:pPr>
            <w:jc w:val="right"/>
            <w:rPr>
              <w:rFonts w:ascii="Calibri" w:hAnsi="Calibri"/>
              <w:color w:val="A00028"/>
              <w:sz w:val="20"/>
            </w:rPr>
          </w:pPr>
          <w:r w:rsidRPr="001979FA">
            <w:rPr>
              <w:rFonts w:ascii="Calibri" w:hAnsi="Calibri"/>
              <w:color w:val="A00028"/>
              <w:sz w:val="20"/>
            </w:rPr>
            <w:t>University of Cambridge</w:t>
          </w:r>
        </w:p>
        <w:p w:rsidR="003B6902" w:rsidRPr="001979FA" w:rsidRDefault="003B6902" w:rsidP="00381E46">
          <w:pPr>
            <w:jc w:val="right"/>
            <w:rPr>
              <w:rFonts w:ascii="Calibri" w:hAnsi="Calibri"/>
              <w:color w:val="A00028"/>
              <w:sz w:val="20"/>
            </w:rPr>
          </w:pPr>
          <w:r w:rsidRPr="001979FA">
            <w:rPr>
              <w:rFonts w:ascii="Calibri" w:hAnsi="Calibri"/>
              <w:color w:val="A00028"/>
              <w:sz w:val="20"/>
            </w:rPr>
            <w:t>Cambridge CB2 1RL</w:t>
          </w:r>
        </w:p>
        <w:p w:rsidR="003B6902" w:rsidRPr="001979FA" w:rsidRDefault="007512E4" w:rsidP="00381E46">
          <w:pPr>
            <w:jc w:val="right"/>
            <w:rPr>
              <w:rFonts w:ascii="Calibri" w:hAnsi="Calibri"/>
              <w:color w:val="A00028"/>
              <w:sz w:val="20"/>
            </w:rPr>
          </w:pPr>
          <w:r>
            <w:rPr>
              <w:rFonts w:ascii="Calibri" w:hAnsi="Calibri"/>
              <w:color w:val="A00028"/>
              <w:sz w:val="20"/>
            </w:rPr>
            <w:t xml:space="preserve"> </w:t>
          </w:r>
          <w:r w:rsidR="003B6902" w:rsidRPr="001979FA">
            <w:rPr>
              <w:rFonts w:ascii="Calibri" w:hAnsi="Calibri"/>
              <w:color w:val="A00028"/>
              <w:sz w:val="20"/>
            </w:rPr>
            <w:t xml:space="preserve">+44 (0) 1223 </w:t>
          </w:r>
          <w:r>
            <w:rPr>
              <w:rFonts w:ascii="Calibri" w:hAnsi="Calibri"/>
              <w:color w:val="A00028"/>
              <w:sz w:val="20"/>
            </w:rPr>
            <w:t>338337</w:t>
          </w:r>
        </w:p>
        <w:p w:rsidR="003B6902" w:rsidRDefault="007512E4" w:rsidP="00381E46">
          <w:pPr>
            <w:pStyle w:val="Header"/>
            <w:jc w:val="right"/>
          </w:pPr>
          <w:r>
            <w:rPr>
              <w:rFonts w:ascii="Calibri" w:hAnsi="Calibri"/>
              <w:color w:val="A00028"/>
              <w:sz w:val="20"/>
            </w:rPr>
            <w:t>alumni</w:t>
          </w:r>
          <w:r w:rsidR="003B6902" w:rsidRPr="001979FA">
            <w:rPr>
              <w:rFonts w:ascii="Calibri" w:hAnsi="Calibri"/>
              <w:color w:val="A00028"/>
              <w:sz w:val="20"/>
            </w:rPr>
            <w:t>@caths.cam.ac.uk</w:t>
          </w:r>
        </w:p>
      </w:tc>
    </w:tr>
  </w:tbl>
  <w:p w:rsidR="003B6902" w:rsidRDefault="003B6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02"/>
    <w:rsid w:val="001979FA"/>
    <w:rsid w:val="001F5C32"/>
    <w:rsid w:val="003B6902"/>
    <w:rsid w:val="004B4273"/>
    <w:rsid w:val="005A1A24"/>
    <w:rsid w:val="005D2096"/>
    <w:rsid w:val="006D7075"/>
    <w:rsid w:val="006F62E9"/>
    <w:rsid w:val="007512E4"/>
    <w:rsid w:val="00806B84"/>
    <w:rsid w:val="00925757"/>
    <w:rsid w:val="009B16A6"/>
    <w:rsid w:val="009F5B6C"/>
    <w:rsid w:val="00B34ADF"/>
    <w:rsid w:val="00CB5D22"/>
    <w:rsid w:val="00D23BE4"/>
    <w:rsid w:val="00F27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9D8A45"/>
  <w15:docId w15:val="{563F8CAB-83E1-4BE6-98DC-30853D55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B6902"/>
    <w:pPr>
      <w:keepNext/>
      <w:keepLines/>
      <w:spacing w:before="200"/>
      <w:jc w:val="both"/>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902"/>
    <w:pPr>
      <w:tabs>
        <w:tab w:val="center" w:pos="4513"/>
        <w:tab w:val="right" w:pos="9026"/>
      </w:tabs>
      <w:spacing w:line="240" w:lineRule="auto"/>
    </w:pPr>
  </w:style>
  <w:style w:type="character" w:customStyle="1" w:styleId="HeaderChar">
    <w:name w:val="Header Char"/>
    <w:basedOn w:val="DefaultParagraphFont"/>
    <w:link w:val="Header"/>
    <w:uiPriority w:val="99"/>
    <w:rsid w:val="003B6902"/>
  </w:style>
  <w:style w:type="paragraph" w:styleId="Footer">
    <w:name w:val="footer"/>
    <w:basedOn w:val="Normal"/>
    <w:link w:val="FooterChar"/>
    <w:uiPriority w:val="99"/>
    <w:unhideWhenUsed/>
    <w:rsid w:val="003B6902"/>
    <w:pPr>
      <w:tabs>
        <w:tab w:val="center" w:pos="4513"/>
        <w:tab w:val="right" w:pos="9026"/>
      </w:tabs>
      <w:spacing w:line="240" w:lineRule="auto"/>
    </w:pPr>
  </w:style>
  <w:style w:type="character" w:customStyle="1" w:styleId="FooterChar">
    <w:name w:val="Footer Char"/>
    <w:basedOn w:val="DefaultParagraphFont"/>
    <w:link w:val="Footer"/>
    <w:uiPriority w:val="99"/>
    <w:rsid w:val="003B6902"/>
  </w:style>
  <w:style w:type="character" w:customStyle="1" w:styleId="Heading4Char">
    <w:name w:val="Heading 4 Char"/>
    <w:basedOn w:val="DefaultParagraphFont"/>
    <w:link w:val="Heading4"/>
    <w:uiPriority w:val="9"/>
    <w:semiHidden/>
    <w:rsid w:val="003B6902"/>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3B6902"/>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A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A24"/>
    <w:rPr>
      <w:rFonts w:ascii="Tahoma" w:hAnsi="Tahoma" w:cs="Tahoma"/>
      <w:sz w:val="16"/>
      <w:szCs w:val="16"/>
    </w:rPr>
  </w:style>
  <w:style w:type="character" w:styleId="Hyperlink">
    <w:name w:val="Hyperlink"/>
    <w:basedOn w:val="DefaultParagraphFont"/>
    <w:uiPriority w:val="99"/>
    <w:unhideWhenUsed/>
    <w:rsid w:val="00197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inheritance-ta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ths.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 Catharine's College, Cambridge</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Rosalind Brown</dc:creator>
  <cp:lastModifiedBy>Rachel Lawson</cp:lastModifiedBy>
  <cp:revision>4</cp:revision>
  <cp:lastPrinted>2018-11-01T18:43:00Z</cp:lastPrinted>
  <dcterms:created xsi:type="dcterms:W3CDTF">2018-09-25T08:55:00Z</dcterms:created>
  <dcterms:modified xsi:type="dcterms:W3CDTF">2018-11-01T19:26:00Z</dcterms:modified>
</cp:coreProperties>
</file>